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38" w:rsidRDefault="00284938" w:rsidP="00284938">
      <w:pPr>
        <w:jc w:val="center"/>
        <w:rPr>
          <w:rFonts w:ascii="Times New Roman" w:hAnsi="Times New Roman"/>
          <w:sz w:val="24"/>
          <w:szCs w:val="24"/>
        </w:rPr>
      </w:pPr>
      <w:r w:rsidRPr="00E818CF">
        <w:rPr>
          <w:rFonts w:ascii="Times New Roman" w:hAnsi="Times New Roman"/>
          <w:sz w:val="24"/>
          <w:szCs w:val="24"/>
        </w:rPr>
        <w:t xml:space="preserve">ДІЯЛЬНСТЬ </w:t>
      </w:r>
    </w:p>
    <w:p w:rsidR="00A51F5C" w:rsidRPr="00E818CF" w:rsidRDefault="00A51F5C" w:rsidP="002849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технічного комітету  стандартизації ТК 83 «Вагони»</w:t>
      </w:r>
      <w:bookmarkStart w:id="0" w:name="_GoBack"/>
      <w:bookmarkEnd w:id="0"/>
    </w:p>
    <w:p w:rsidR="00284938" w:rsidRPr="00E818CF" w:rsidRDefault="00284938" w:rsidP="0028493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"/>
        <w:gridCol w:w="1840"/>
        <w:gridCol w:w="6351"/>
        <w:gridCol w:w="6352"/>
      </w:tblGrid>
      <w:tr w:rsidR="00284938" w:rsidRPr="00E818CF" w:rsidTr="00E818CF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38" w:rsidRPr="00E818CF" w:rsidRDefault="00284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38" w:rsidRPr="00E818CF" w:rsidRDefault="00284938" w:rsidP="00284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Дата засідання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38" w:rsidRPr="00E818CF" w:rsidRDefault="00284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Порядок денний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38" w:rsidRPr="00E818CF" w:rsidRDefault="00284938" w:rsidP="002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</w:tr>
      <w:tr w:rsidR="00284938" w:rsidRPr="00E818CF" w:rsidTr="00E818CF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38" w:rsidRPr="00E818CF" w:rsidRDefault="00284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38" w:rsidRPr="00E818CF" w:rsidRDefault="002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21 вересня</w:t>
            </w:r>
          </w:p>
          <w:p w:rsidR="00284938" w:rsidRPr="00E818CF" w:rsidRDefault="002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 2016 року</w:t>
            </w:r>
          </w:p>
          <w:p w:rsidR="00284938" w:rsidRPr="00E818CF" w:rsidRDefault="00284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8" w:rsidRPr="00E818CF" w:rsidRDefault="00284938" w:rsidP="00284938">
            <w:pPr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1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Призначення відповідального секретаря ТК 83 «Вагони».</w:t>
            </w:r>
          </w:p>
          <w:p w:rsidR="00284938" w:rsidRPr="00E818CF" w:rsidRDefault="00284938" w:rsidP="00284938">
            <w:pPr>
              <w:ind w:right="141"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1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Розгляд ГОСТ для визначення позиції України щодо впровадження нормативних документів на підставі «Угоди про скоординовану політику у сфері стандартизації, метрології та сертифікації» (лист ДП «УкрНДНЦ від 08.06.2016 за № 1-10/2.1.2-27-1570)</w:t>
            </w:r>
          </w:p>
          <w:p w:rsidR="00284938" w:rsidRPr="00E818CF" w:rsidRDefault="00284938" w:rsidP="00284938">
            <w:pPr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3 Розгляд питання щодо проведення робіт з перевірки національних нормативних документів (НД) згідно з Планом перевірки національних нормативних документів на 2016 рік, затвердженим наказом ДП «УкрНДНЦ» від 15.02.2016 р. № 37 разом зі внесеними змінами, які затверджено наказом № 104 від 12.04.2016 та наказом № 150 від 31.05.2016.</w:t>
            </w:r>
          </w:p>
          <w:p w:rsidR="00284938" w:rsidRPr="00E818CF" w:rsidRDefault="00284938" w:rsidP="00284938">
            <w:pPr>
              <w:tabs>
                <w:tab w:val="left" w:pos="800"/>
              </w:tabs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1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Розгляд висновків за результатами перевірки національних НД.</w:t>
            </w:r>
          </w:p>
          <w:p w:rsidR="00284938" w:rsidRPr="00E818CF" w:rsidRDefault="00284938" w:rsidP="00284938">
            <w:pPr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5 Розгляд питання фінансування розробки нових національних стандартів та змін до чинних стандартів для подання пропозицій в Програму робіт з національної стандартизації на 2017.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6 Різне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9" w:rsidRPr="00E818CF" w:rsidRDefault="003E4049" w:rsidP="003E4049">
            <w:pPr>
              <w:spacing w:line="264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1 Призначити відповідальним секретарем ТК 83 – Семко Жанну Олександрівну.</w:t>
            </w:r>
          </w:p>
          <w:p w:rsidR="00284938" w:rsidRPr="00E818CF" w:rsidRDefault="003E4049" w:rsidP="003E4049">
            <w:pPr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Одноголосно</w:t>
            </w:r>
          </w:p>
          <w:p w:rsidR="003E4049" w:rsidRPr="00E818CF" w:rsidRDefault="003E4049" w:rsidP="003E4049">
            <w:pPr>
              <w:spacing w:line="264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2 Для визначення позиції ТК 83 щодо впровадження нормативних документів на підставі «Угоди про скоординовану політику у сфері стандартизації, метрології та сертифікації» голосувати за кожний стандарт окремо.</w:t>
            </w:r>
          </w:p>
          <w:p w:rsidR="003E4049" w:rsidRPr="00E818CF" w:rsidRDefault="003E4049" w:rsidP="003E4049">
            <w:pPr>
              <w:spacing w:line="264" w:lineRule="auto"/>
              <w:ind w:firstLine="2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Результати голосування наведено в Додатку Б до Протоколу.</w:t>
            </w:r>
          </w:p>
          <w:p w:rsidR="003E4049" w:rsidRPr="00E818CF" w:rsidRDefault="003E4049" w:rsidP="003E4049">
            <w:pPr>
              <w:ind w:right="141" w:firstLine="2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bCs/>
                <w:sz w:val="24"/>
                <w:szCs w:val="24"/>
              </w:rPr>
              <w:t>Одноголосно.</w:t>
            </w:r>
          </w:p>
          <w:p w:rsidR="003E4049" w:rsidRPr="00E818CF" w:rsidRDefault="003E4049" w:rsidP="003E4049">
            <w:pPr>
              <w:spacing w:line="264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bCs/>
                <w:sz w:val="24"/>
                <w:szCs w:val="24"/>
              </w:rPr>
              <w:t>3, 4</w:t>
            </w: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 Надати висновки щодо результату</w:t>
            </w:r>
            <w:r w:rsidRPr="00E81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перевірки національних НД, закріплених за ТК 83, за кодом 90.93 – «Підтвердження актуальності національного НД».</w:t>
            </w:r>
          </w:p>
          <w:p w:rsidR="003E4049" w:rsidRPr="00E818CF" w:rsidRDefault="003E4049" w:rsidP="003E4049">
            <w:pPr>
              <w:spacing w:line="264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Результати голосування наведено в Додатку В.</w:t>
            </w:r>
          </w:p>
          <w:p w:rsidR="003E4049" w:rsidRPr="00E818CF" w:rsidRDefault="003E4049" w:rsidP="003E4049">
            <w:pPr>
              <w:ind w:firstLine="2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bCs/>
                <w:sz w:val="24"/>
                <w:szCs w:val="24"/>
              </w:rPr>
              <w:t>Одноголосно.</w:t>
            </w:r>
          </w:p>
          <w:p w:rsidR="003E4049" w:rsidRPr="00E818CF" w:rsidRDefault="003E4049" w:rsidP="003E4049">
            <w:pPr>
              <w:spacing w:line="264" w:lineRule="auto"/>
              <w:ind w:firstLine="2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Доручити ТК 83 направити до ДП УкрНДНЦ» лист щодо відсутності пропозицій з фінансування робіт із стандартизації у закріпленої за ТК сфері діяльності у зв’язку із важким фінансовим станом вітчизняних підприємств в галузі залізничного транспорту.</w:t>
            </w:r>
          </w:p>
          <w:p w:rsidR="003E4049" w:rsidRPr="00E818CF" w:rsidRDefault="003E4049" w:rsidP="003E4049">
            <w:pPr>
              <w:ind w:firstLine="2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bCs/>
                <w:sz w:val="24"/>
                <w:szCs w:val="24"/>
              </w:rPr>
              <w:t>Одноголосно.</w:t>
            </w:r>
          </w:p>
          <w:p w:rsidR="003E4049" w:rsidRPr="00E818CF" w:rsidRDefault="003E4049" w:rsidP="003E4049">
            <w:pPr>
              <w:ind w:right="57"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Ухвалити пропозицію щодо проведення </w:t>
            </w:r>
            <w:proofErr w:type="spellStart"/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узгоджува-льної</w:t>
            </w:r>
            <w:proofErr w:type="spellEnd"/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 наради щодо ухвалення рішення про прийняття остаточних редакцій перегляду ДСТУ 4070-2002, ДСТУ 4224-2003, ДСТУ 4876:2007 за участю заінтересованих сторін, яких про дату проведення цієї наради повідомити додатково</w:t>
            </w:r>
          </w:p>
          <w:p w:rsidR="003E4049" w:rsidRPr="00E818CF" w:rsidRDefault="003E4049" w:rsidP="003E4049">
            <w:pPr>
              <w:ind w:right="57"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Одноголосно.</w:t>
            </w:r>
          </w:p>
        </w:tc>
      </w:tr>
      <w:tr w:rsidR="00284938" w:rsidRPr="00E818CF" w:rsidTr="00E818CF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38" w:rsidRPr="00E818CF" w:rsidRDefault="002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38" w:rsidRPr="00E818CF" w:rsidRDefault="002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5 грудня</w:t>
            </w:r>
          </w:p>
          <w:p w:rsidR="00284938" w:rsidRPr="00E818CF" w:rsidRDefault="00284938" w:rsidP="002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 2016 року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8" w:rsidRPr="00E818CF" w:rsidRDefault="00284938" w:rsidP="00284938">
            <w:pPr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1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Визначення доцільності розроблення національних стандартів гармонізованих зі європейськими стандартами:</w:t>
            </w:r>
          </w:p>
          <w:p w:rsidR="00284938" w:rsidRPr="00E818CF" w:rsidRDefault="00284938" w:rsidP="00284938">
            <w:pPr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1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 286-3:1994 Посудини, що працюють під тиском, для повітря чи азоту. Частина 3. Посудини зі сталі для пневматичних гальмівних систем і допоміжних пристроїв рухомого складу залізниць. Загальні технічні вимоги.</w:t>
            </w:r>
          </w:p>
          <w:p w:rsidR="00284938" w:rsidRPr="00E818CF" w:rsidRDefault="00284938" w:rsidP="00284938">
            <w:pPr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1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 286-4:1994 Посудини, що працюють під тиском, для повітря чи азоту. Частина 4. Посудини з алюмінієвих сплавів для пневматичних гальмівних систем і допоміжних систем і допоміжних пристроїв рухомого складу залізниць. Загальні технічні вимоги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9" w:rsidRPr="00E818CF" w:rsidRDefault="003E4049" w:rsidP="003E4049">
            <w:pPr>
              <w:spacing w:line="264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1 Визнати розроблення національних стандартів, гармонізованих з </w:t>
            </w:r>
            <w:r w:rsidRPr="00E81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 286-3:1994, </w:t>
            </w:r>
            <w:r w:rsidRPr="00E81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 286-4:1994, доцільним.</w:t>
            </w:r>
          </w:p>
          <w:p w:rsidR="003E4049" w:rsidRPr="00E818CF" w:rsidRDefault="003E4049" w:rsidP="003E4049">
            <w:pPr>
              <w:spacing w:line="264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Фінансування робіт провести за рахунок коштів Міністерства економічного розвитку і торгівлі України.</w:t>
            </w:r>
          </w:p>
          <w:p w:rsidR="003E4049" w:rsidRPr="00E818CF" w:rsidRDefault="003E4049" w:rsidP="003E4049">
            <w:pPr>
              <w:ind w:firstLine="2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bCs/>
                <w:sz w:val="24"/>
                <w:szCs w:val="24"/>
              </w:rPr>
              <w:t>Одноголосно.</w:t>
            </w:r>
          </w:p>
          <w:p w:rsidR="00284938" w:rsidRPr="00E818CF" w:rsidRDefault="00284938" w:rsidP="003E4049">
            <w:pPr>
              <w:ind w:right="141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38" w:rsidRPr="00E818CF" w:rsidTr="00E818CF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38" w:rsidRPr="00E818CF" w:rsidRDefault="002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38" w:rsidRPr="00E818CF" w:rsidRDefault="002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09  грудня</w:t>
            </w:r>
            <w:r w:rsidRPr="00E81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84938" w:rsidRPr="00E818CF" w:rsidRDefault="002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2016 року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8" w:rsidRPr="00E818CF" w:rsidRDefault="00284938" w:rsidP="00284938">
            <w:pPr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1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Визначення пріоритетності  розроблення методом перекладу національних стандартів, гармонізованих з європейськими, та прийнятих методом підтвердження: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1) Залізничний транспорт. Акустика. Вимірювання шуму всередині. 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ISO 3381:2015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2) Залізничний транспорт. Букси. Підшипники кочення. 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12080:2015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3) Залізничний транспорт. Букси. Консистентні мастила. 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12081:2015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4) Залізничний транспорт. Вимоги до конструкції кузова залізничного транспортного засобу. Частина 1. Локомотиви і пасажирський рухомий склад (і альтернативний метод для вантажних вагонів). 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12663-1:2015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5) Залізничний транспорт. Конструкційні вимоги до кузовів  залізничних транспортних засобів. Частина 2.  Вантажні вагони. 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12663-2:2015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6) Залізничний транспорт. Колісні візки. Вимоги до осі.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13261:2015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7) Залізничний транспорт. Колісні візки. Вимоги до </w:t>
            </w:r>
            <w:proofErr w:type="spellStart"/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proofErr w:type="spellEnd"/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13262:2015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8) Залізниця. Гальмування. Гальмові системи громадського транспорту. Частина 1. Експлуатаційні вимоги.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підставі EN 13452-1:2003, IDT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9) Залізничний транспорт. Колісні візки. Колеса. Профіль кочення.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13715:2015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10) Залізничний транспорт. Колісні пари та візки. Метод визначення структурних вимог до рам до візків.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13749:2015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11) Залізничний транспорт. Колісні візки. Моноблочні колеса. Технічна процедура затвердження. Частина 1. Колеса ковані та катані.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13979-1:2015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12) Випробування та моделювання з визначення ходових якостей залізничних екіпажів.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підставі EN 14363:2016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13) Залізниця. Кондиціонери для міського та приміського транспорту. Частина 1. Параметри комфорту.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підставі EN 14750-1:2006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14) Залізниця. Двері пасажирських салонів.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підставі EN 14752:2015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15) Залізничний транспорт. Вимоги до ударостійкості рейкових транспортних засобів.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15227:2015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16) Залізничний транспорт. Габарити. Частина 2. Рухомий склад колії.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 15273-2:2015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17) Залізничний транспорт. Габарити. Частина 3. Габарити конструкції 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 15273-3:2015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18) Залізничний транспорт. Залізничний рухомий склад. Буфери.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15551:2015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19) Залізничний транспорт. Залізничний рухомий склад. Приводи тяги та гвинтові з'єднання.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15566:2015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20) Залізничний транспорт. Визначення встановленої маси транспортного засобу.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15663:2015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21) Залізничний транспорт. Гальмівні системи високошвидкісних поїздів. Частина 1. Вимоги і визначення.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15734-1:2015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22) Залізничний транспорт. Гальмівні системи високошвидкісних поїздів. Частина 2. Методи випробувань.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15734-2:2015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23) Залізничний транспорт. Гальмування. Статичні перевірки.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15806:2015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24) Залізничний транспорт. Вимоги до візків і ходової частини.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 15827:2015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25) Залізничний транспорт. Протипожежний захист на залізничних транспортних засобах. Частина 1. Загальні вимоги.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45545-1:2015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26) Залізничний транспорт. Протипожежний захист на залізничних транспортних засобах. Частина 2. Вимоги до вогнестійкості матеріалів і компонентів.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45545-2:2015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27) Залізничний транспорт. Протипожежний захист на залізничних транспортних засобах. Частина 3. Вимоги пожежного опору для протипожежних бар'єрів.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45545-3:2015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28) Залізниця. Рухомий склад. Струмоприймачі. Характеристики та випробування. Пантографи для метро і легких транспортних засобів.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EN 50206-2:2010, IDT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29) Залізничний транспорт. Вимірювання енергії на борту поїзда. Частина 2. Вимірювання енергії.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50463-2:2015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30) Залізничний транспорт. Залізнична колія. Причіпні вагони та пов’язане устатковання. Частина 2. Загальні вимоги щодо безпеки.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15954-2:2014 (прийнятого методом підтвердження)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31) Залізничний транспорт. Залізнична колія. Машини, що демонтуються та пов’язане устатковання. Частина 2. Загальні вимоги щодо безпеки.</w:t>
            </w:r>
          </w:p>
          <w:p w:rsidR="00284938" w:rsidRPr="00E818CF" w:rsidRDefault="00284938" w:rsidP="00284938">
            <w:pPr>
              <w:spacing w:line="264" w:lineRule="auto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Розроблення національного НД на заміну ДСТУ EN 15955-2:2014 (прийнятого методом підтвердження)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CF" w:rsidRPr="00E818CF" w:rsidRDefault="00E818CF" w:rsidP="00E818CF">
            <w:pPr>
              <w:ind w:right="141"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1 Визнати розроблення національних стандартів методом перекладу, гармонізованих з європейськими.</w:t>
            </w:r>
          </w:p>
          <w:p w:rsidR="00E818CF" w:rsidRPr="00E818CF" w:rsidRDefault="00E818CF" w:rsidP="00E818CF">
            <w:pPr>
              <w:ind w:right="141"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Фінансування робіт провести за рахунок коштів Міністерства економічного розвитку і торгівлі України.</w:t>
            </w:r>
          </w:p>
          <w:p w:rsidR="00E818CF" w:rsidRPr="00E818CF" w:rsidRDefault="00E818CF" w:rsidP="00E818CF">
            <w:pPr>
              <w:ind w:firstLine="2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bCs/>
                <w:sz w:val="24"/>
                <w:szCs w:val="24"/>
              </w:rPr>
              <w:t>Одноголосно.</w:t>
            </w:r>
          </w:p>
          <w:p w:rsidR="00284938" w:rsidRPr="00E818CF" w:rsidRDefault="00284938" w:rsidP="003E4049">
            <w:pPr>
              <w:ind w:right="141" w:firstLine="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38" w:rsidRPr="00E818CF" w:rsidTr="00E818CF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38" w:rsidRPr="00E818CF" w:rsidRDefault="002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38" w:rsidRPr="00E818CF" w:rsidRDefault="002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26   січня   </w:t>
            </w:r>
          </w:p>
          <w:p w:rsidR="00284938" w:rsidRPr="00E818CF" w:rsidRDefault="002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8" w:rsidRPr="00E818CF" w:rsidRDefault="00284938" w:rsidP="00284938">
            <w:pPr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1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Визначення доцільності прийняття ГОСТ 2582-2013 «</w:t>
            </w:r>
            <w:proofErr w:type="spellStart"/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proofErr w:type="spellEnd"/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  <w:proofErr w:type="spellEnd"/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вращающиеся</w:t>
            </w:r>
            <w:proofErr w:type="spellEnd"/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тяговые</w:t>
            </w:r>
            <w:proofErr w:type="spellEnd"/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E8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Pr="005667A1" w:rsidRDefault="005667A1" w:rsidP="005667A1">
            <w:pPr>
              <w:ind w:right="-288" w:firstLine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7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667A1">
              <w:rPr>
                <w:rFonts w:ascii="Times New Roman" w:hAnsi="Times New Roman"/>
                <w:sz w:val="24"/>
                <w:szCs w:val="24"/>
              </w:rPr>
              <w:t>Прийняття ГОСТ 2582-2013 «</w:t>
            </w:r>
            <w:proofErr w:type="spellStart"/>
            <w:r w:rsidRPr="005667A1">
              <w:rPr>
                <w:rFonts w:ascii="Times New Roman" w:hAnsi="Times New Roman"/>
                <w:sz w:val="24"/>
                <w:szCs w:val="24"/>
              </w:rPr>
              <w:t>Машины</w:t>
            </w:r>
            <w:proofErr w:type="spellEnd"/>
            <w:r w:rsidRPr="00566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7A1">
              <w:rPr>
                <w:rFonts w:ascii="Times New Roman" w:hAnsi="Times New Roman"/>
                <w:sz w:val="24"/>
                <w:szCs w:val="24"/>
              </w:rPr>
              <w:t>электрические</w:t>
            </w:r>
            <w:proofErr w:type="spellEnd"/>
            <w:r w:rsidRPr="00566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7A1">
              <w:rPr>
                <w:rFonts w:ascii="Times New Roman" w:hAnsi="Times New Roman"/>
                <w:sz w:val="24"/>
                <w:szCs w:val="24"/>
              </w:rPr>
              <w:t>вращающиеся</w:t>
            </w:r>
            <w:proofErr w:type="spellEnd"/>
            <w:r w:rsidRPr="00566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7A1">
              <w:rPr>
                <w:rFonts w:ascii="Times New Roman" w:hAnsi="Times New Roman"/>
                <w:sz w:val="24"/>
                <w:szCs w:val="24"/>
              </w:rPr>
              <w:t>тяговые</w:t>
            </w:r>
            <w:proofErr w:type="spellEnd"/>
            <w:r w:rsidRPr="005667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667A1">
              <w:rPr>
                <w:rFonts w:ascii="Times New Roman" w:hAnsi="Times New Roman"/>
                <w:sz w:val="24"/>
                <w:szCs w:val="24"/>
              </w:rPr>
              <w:t>Общие</w:t>
            </w:r>
            <w:proofErr w:type="spellEnd"/>
            <w:r w:rsidRPr="00566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7A1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proofErr w:type="spellEnd"/>
            <w:r w:rsidRPr="00566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7A1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  <w:r w:rsidRPr="005667A1">
              <w:rPr>
                <w:rFonts w:ascii="Times New Roman" w:hAnsi="Times New Roman"/>
                <w:sz w:val="24"/>
                <w:szCs w:val="24"/>
              </w:rPr>
              <w:t xml:space="preserve">», прийнятого на 44 засідання МДР, визнати як </w:t>
            </w:r>
            <w:r w:rsidRPr="005667A1">
              <w:rPr>
                <w:rFonts w:ascii="Times New Roman" w:hAnsi="Times New Roman"/>
                <w:b/>
                <w:sz w:val="24"/>
                <w:szCs w:val="24"/>
              </w:rPr>
              <w:t>доцільне.</w:t>
            </w:r>
          </w:p>
          <w:p w:rsidR="00284938" w:rsidRPr="00E818CF" w:rsidRDefault="005667A1" w:rsidP="005667A1">
            <w:pPr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5667A1">
              <w:rPr>
                <w:rFonts w:ascii="Times New Roman" w:hAnsi="Times New Roman"/>
                <w:bCs/>
                <w:sz w:val="24"/>
                <w:szCs w:val="24"/>
              </w:rPr>
              <w:t>Одноголосно.</w:t>
            </w:r>
          </w:p>
        </w:tc>
      </w:tr>
      <w:tr w:rsidR="00284938" w:rsidRPr="00E818CF" w:rsidTr="00E818CF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38" w:rsidRPr="00E818CF" w:rsidRDefault="002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38" w:rsidRPr="00E818CF" w:rsidRDefault="00284938" w:rsidP="005667A1">
            <w:pPr>
              <w:tabs>
                <w:tab w:val="left" w:pos="720"/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6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лютого</w:t>
            </w:r>
          </w:p>
          <w:p w:rsidR="00284938" w:rsidRPr="00E818CF" w:rsidRDefault="00284938" w:rsidP="005667A1">
            <w:pPr>
              <w:tabs>
                <w:tab w:val="left" w:pos="720"/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  <w:p w:rsidR="00284938" w:rsidRPr="00E818CF" w:rsidRDefault="002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8" w:rsidRPr="00E818CF" w:rsidRDefault="00284938" w:rsidP="00284938">
            <w:pPr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1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8CF">
              <w:rPr>
                <w:rFonts w:ascii="Times New Roman" w:hAnsi="Times New Roman" w:cs="Times New Roman"/>
                <w:sz w:val="24"/>
                <w:szCs w:val="24"/>
              </w:rPr>
              <w:t>Визначення доцільності впровадження, як національних, стандартів:</w:t>
            </w:r>
          </w:p>
          <w:p w:rsidR="00284938" w:rsidRPr="00E818CF" w:rsidRDefault="00284938" w:rsidP="00284938">
            <w:pPr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31539-2012 «Цикл жизненный железнодорожного подвижного состава. Термины и определения»;</w:t>
            </w:r>
          </w:p>
          <w:p w:rsidR="00284938" w:rsidRPr="00E818CF" w:rsidRDefault="00284938" w:rsidP="00284938">
            <w:pPr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32192-2013 «Надежность в железнодорожной технике. Основные понятия. Термины и определения»;</w:t>
            </w:r>
          </w:p>
          <w:p w:rsidR="00284938" w:rsidRPr="00E818CF" w:rsidRDefault="00284938" w:rsidP="00284938">
            <w:pPr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32884-2014 « Эксплуатация, техническое обслуживание и ремонт железнодорожного подвижного состава. Термины и определения»;</w:t>
            </w:r>
          </w:p>
          <w:p w:rsidR="00284938" w:rsidRPr="00E818CF" w:rsidRDefault="00284938" w:rsidP="00284938">
            <w:pPr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32895-2014 «Электрификация и электроснабжение железных дорог. Термины и определения»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1" w:rsidRPr="005667A1" w:rsidRDefault="005667A1" w:rsidP="005667A1">
            <w:pPr>
              <w:ind w:right="27"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667A1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в Україні, як національних стандартів, </w:t>
            </w:r>
            <w:r w:rsidRPr="005667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31539-2012, ГОСТ 32192-2013, ГОСТ 32884-2014, ГОСТ 32895-2014</w:t>
            </w:r>
            <w:r w:rsidRPr="005667A1">
              <w:rPr>
                <w:rFonts w:ascii="Times New Roman" w:hAnsi="Times New Roman" w:cs="Times New Roman"/>
                <w:sz w:val="24"/>
                <w:szCs w:val="24"/>
              </w:rPr>
              <w:t xml:space="preserve">, визнати як </w:t>
            </w:r>
            <w:r w:rsidRPr="005667A1">
              <w:rPr>
                <w:rFonts w:ascii="Times New Roman" w:hAnsi="Times New Roman" w:cs="Times New Roman"/>
                <w:b/>
                <w:sz w:val="24"/>
                <w:szCs w:val="24"/>
              </w:rPr>
              <w:t>доцільне.</w:t>
            </w:r>
          </w:p>
          <w:p w:rsidR="005667A1" w:rsidRDefault="005667A1" w:rsidP="005667A1">
            <w:pPr>
              <w:ind w:firstLine="27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Одноголосно.</w:t>
            </w:r>
          </w:p>
          <w:p w:rsidR="00284938" w:rsidRPr="00E818CF" w:rsidRDefault="00284938" w:rsidP="005667A1">
            <w:pPr>
              <w:tabs>
                <w:tab w:val="left" w:pos="5976"/>
              </w:tabs>
              <w:ind w:right="141" w:firstLine="2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38" w:rsidRPr="00E818CF" w:rsidTr="00E818CF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38" w:rsidRPr="00E818CF" w:rsidRDefault="002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38" w:rsidRPr="00E818CF" w:rsidRDefault="002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8" w:rsidRPr="00E818CF" w:rsidRDefault="00284938">
            <w:pPr>
              <w:spacing w:after="120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8" w:rsidRPr="00E818CF" w:rsidRDefault="00284938" w:rsidP="00E818CF">
            <w:pPr>
              <w:tabs>
                <w:tab w:val="left" w:pos="5976"/>
              </w:tabs>
              <w:spacing w:after="120"/>
              <w:ind w:right="141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38" w:rsidRPr="00E818CF" w:rsidTr="00E818CF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38" w:rsidRPr="00E818CF" w:rsidRDefault="002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38" w:rsidRPr="00E818CF" w:rsidRDefault="002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8" w:rsidRPr="00E818CF" w:rsidRDefault="00284938">
            <w:pPr>
              <w:spacing w:after="120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38" w:rsidRPr="00E818CF" w:rsidRDefault="00284938" w:rsidP="00284938">
            <w:pPr>
              <w:spacing w:after="120"/>
              <w:ind w:right="141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38" w:rsidRPr="00E818CF" w:rsidTr="00E818CF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38" w:rsidRPr="00E818CF" w:rsidRDefault="002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38" w:rsidRPr="00E818CF" w:rsidRDefault="0028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38" w:rsidRPr="00E818CF" w:rsidRDefault="00284938">
            <w:pPr>
              <w:spacing w:after="120"/>
              <w:ind w:right="14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38" w:rsidRPr="00E818CF" w:rsidRDefault="00284938" w:rsidP="00284938">
            <w:pPr>
              <w:spacing w:after="120"/>
              <w:ind w:right="141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3B0" w:rsidRPr="00E818CF" w:rsidRDefault="00CC03B0">
      <w:pPr>
        <w:rPr>
          <w:rFonts w:ascii="Times New Roman" w:hAnsi="Times New Roman"/>
          <w:sz w:val="24"/>
          <w:szCs w:val="24"/>
        </w:rPr>
      </w:pPr>
    </w:p>
    <w:sectPr w:rsidR="00CC03B0" w:rsidRPr="00E818CF" w:rsidSect="00E818CF">
      <w:pgSz w:w="16838" w:h="11906" w:orient="landscape" w:code="9"/>
      <w:pgMar w:top="1417" w:right="850" w:bottom="850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38"/>
    <w:rsid w:val="00002BE1"/>
    <w:rsid w:val="00027D95"/>
    <w:rsid w:val="00284938"/>
    <w:rsid w:val="003E4049"/>
    <w:rsid w:val="005667A1"/>
    <w:rsid w:val="009D3070"/>
    <w:rsid w:val="00A51F5C"/>
    <w:rsid w:val="00CC03B0"/>
    <w:rsid w:val="00E8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qFormat="1"/>
    <w:lsdException w:name="heading 3" w:qFormat="1"/>
    <w:lsdException w:name="heading 4" w:locked="1" w:qFormat="1"/>
    <w:lsdException w:name="heading 5" w:lock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38"/>
    <w:pPr>
      <w:spacing w:after="0" w:line="240" w:lineRule="auto"/>
    </w:pPr>
    <w:rPr>
      <w:rFonts w:ascii="Arial" w:hAnsi="Arial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002BE1"/>
    <w:pPr>
      <w:keepNext/>
      <w:autoSpaceDE w:val="0"/>
      <w:autoSpaceDN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002BE1"/>
    <w:pPr>
      <w:keepNext/>
      <w:autoSpaceDE w:val="0"/>
      <w:autoSpaceDN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002BE1"/>
    <w:pPr>
      <w:keepNext/>
      <w:autoSpaceDE w:val="0"/>
      <w:autoSpaceDN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qFormat/>
    <w:locked/>
    <w:rsid w:val="00002BE1"/>
    <w:pPr>
      <w:keepNext/>
      <w:autoSpaceDE w:val="0"/>
      <w:autoSpaceDN w:val="0"/>
      <w:jc w:val="center"/>
      <w:outlineLvl w:val="3"/>
    </w:pPr>
    <w:rPr>
      <w:rFonts w:asciiTheme="minorHAnsi" w:eastAsiaTheme="minorEastAsia" w:hAnsiTheme="minorHAns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qFormat/>
    <w:locked/>
    <w:rsid w:val="00002BE1"/>
    <w:pPr>
      <w:keepNext/>
      <w:autoSpaceDE w:val="0"/>
      <w:autoSpaceDN w:val="0"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BE1"/>
    <w:rPr>
      <w:rFonts w:asciiTheme="majorHAnsi" w:eastAsiaTheme="majorEastAsia" w:hAnsiTheme="majorHAns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02BE1"/>
    <w:rPr>
      <w:rFonts w:asciiTheme="majorHAnsi" w:eastAsiaTheme="majorEastAsia" w:hAnsiTheme="majorHAnsi"/>
      <w:b/>
      <w:bCs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02BE1"/>
    <w:rPr>
      <w:rFonts w:asciiTheme="majorHAnsi" w:eastAsiaTheme="majorEastAsia" w:hAnsiTheme="majorHAnsi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02BE1"/>
    <w:rPr>
      <w:rFonts w:asciiTheme="minorHAnsi" w:eastAsiaTheme="minorEastAsia" w:hAnsiTheme="minorHAns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002BE1"/>
    <w:rPr>
      <w:rFonts w:asciiTheme="minorHAnsi" w:eastAsiaTheme="minorEastAsia" w:hAnsiTheme="minorHAnsi"/>
      <w:b/>
      <w:bCs/>
      <w:i/>
      <w:iCs/>
      <w:sz w:val="26"/>
      <w:szCs w:val="26"/>
      <w:lang w:val="ru-RU" w:eastAsia="ru-RU"/>
    </w:rPr>
  </w:style>
  <w:style w:type="paragraph" w:styleId="a3">
    <w:name w:val="caption"/>
    <w:basedOn w:val="a"/>
    <w:uiPriority w:val="99"/>
    <w:qFormat/>
    <w:locked/>
    <w:rsid w:val="00002BE1"/>
    <w:pPr>
      <w:widowControl w:val="0"/>
      <w:autoSpaceDE w:val="0"/>
      <w:autoSpaceDN w:val="0"/>
      <w:adjustRightInd w:val="0"/>
      <w:ind w:firstLine="567"/>
      <w:jc w:val="center"/>
    </w:pPr>
    <w:rPr>
      <w:rFonts w:cs="Arial"/>
      <w:b/>
      <w:bCs/>
      <w:sz w:val="24"/>
      <w:szCs w:val="24"/>
    </w:rPr>
  </w:style>
  <w:style w:type="paragraph" w:styleId="a4">
    <w:name w:val="Title"/>
    <w:basedOn w:val="a"/>
    <w:link w:val="a5"/>
    <w:uiPriority w:val="10"/>
    <w:qFormat/>
    <w:locked/>
    <w:rsid w:val="00002BE1"/>
    <w:pPr>
      <w:autoSpaceDE w:val="0"/>
      <w:autoSpaceDN w:val="0"/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val="ru-RU"/>
    </w:rPr>
  </w:style>
  <w:style w:type="character" w:customStyle="1" w:styleId="a5">
    <w:name w:val="Название Знак"/>
    <w:basedOn w:val="a0"/>
    <w:link w:val="a4"/>
    <w:uiPriority w:val="10"/>
    <w:rsid w:val="00002BE1"/>
    <w:rPr>
      <w:rFonts w:asciiTheme="majorHAnsi" w:eastAsiaTheme="majorEastAsia" w:hAnsiTheme="majorHAnsi"/>
      <w:b/>
      <w:bCs/>
      <w:kern w:val="28"/>
      <w:sz w:val="32"/>
      <w:szCs w:val="32"/>
      <w:lang w:val="ru-RU" w:eastAsia="ru-RU"/>
    </w:rPr>
  </w:style>
  <w:style w:type="character" w:styleId="a6">
    <w:name w:val="Strong"/>
    <w:basedOn w:val="a0"/>
    <w:uiPriority w:val="22"/>
    <w:qFormat/>
    <w:locked/>
    <w:rsid w:val="00002BE1"/>
    <w:rPr>
      <w:b/>
      <w:bCs/>
    </w:rPr>
  </w:style>
  <w:style w:type="paragraph" w:styleId="a7">
    <w:name w:val="List Paragraph"/>
    <w:basedOn w:val="a"/>
    <w:uiPriority w:val="34"/>
    <w:qFormat/>
    <w:rsid w:val="00002BE1"/>
    <w:pPr>
      <w:autoSpaceDE w:val="0"/>
      <w:autoSpaceDN w:val="0"/>
      <w:ind w:left="720"/>
      <w:contextualSpacing/>
    </w:pPr>
    <w:rPr>
      <w:rFonts w:cs="Arial"/>
      <w:sz w:val="24"/>
      <w:szCs w:val="24"/>
      <w:lang w:val="ru-RU"/>
    </w:rPr>
  </w:style>
  <w:style w:type="table" w:styleId="a8">
    <w:name w:val="Table Grid"/>
    <w:basedOn w:val="a1"/>
    <w:uiPriority w:val="59"/>
    <w:rsid w:val="00284938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qFormat="1"/>
    <w:lsdException w:name="heading 3" w:qFormat="1"/>
    <w:lsdException w:name="heading 4" w:locked="1" w:qFormat="1"/>
    <w:lsdException w:name="heading 5" w:lock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38"/>
    <w:pPr>
      <w:spacing w:after="0" w:line="240" w:lineRule="auto"/>
    </w:pPr>
    <w:rPr>
      <w:rFonts w:ascii="Arial" w:hAnsi="Arial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002BE1"/>
    <w:pPr>
      <w:keepNext/>
      <w:autoSpaceDE w:val="0"/>
      <w:autoSpaceDN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002BE1"/>
    <w:pPr>
      <w:keepNext/>
      <w:autoSpaceDE w:val="0"/>
      <w:autoSpaceDN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002BE1"/>
    <w:pPr>
      <w:keepNext/>
      <w:autoSpaceDE w:val="0"/>
      <w:autoSpaceDN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qFormat/>
    <w:locked/>
    <w:rsid w:val="00002BE1"/>
    <w:pPr>
      <w:keepNext/>
      <w:autoSpaceDE w:val="0"/>
      <w:autoSpaceDN w:val="0"/>
      <w:jc w:val="center"/>
      <w:outlineLvl w:val="3"/>
    </w:pPr>
    <w:rPr>
      <w:rFonts w:asciiTheme="minorHAnsi" w:eastAsiaTheme="minorEastAsia" w:hAnsiTheme="minorHAns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qFormat/>
    <w:locked/>
    <w:rsid w:val="00002BE1"/>
    <w:pPr>
      <w:keepNext/>
      <w:autoSpaceDE w:val="0"/>
      <w:autoSpaceDN w:val="0"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BE1"/>
    <w:rPr>
      <w:rFonts w:asciiTheme="majorHAnsi" w:eastAsiaTheme="majorEastAsia" w:hAnsiTheme="majorHAns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02BE1"/>
    <w:rPr>
      <w:rFonts w:asciiTheme="majorHAnsi" w:eastAsiaTheme="majorEastAsia" w:hAnsiTheme="majorHAnsi"/>
      <w:b/>
      <w:bCs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02BE1"/>
    <w:rPr>
      <w:rFonts w:asciiTheme="majorHAnsi" w:eastAsiaTheme="majorEastAsia" w:hAnsiTheme="majorHAnsi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02BE1"/>
    <w:rPr>
      <w:rFonts w:asciiTheme="minorHAnsi" w:eastAsiaTheme="minorEastAsia" w:hAnsiTheme="minorHAns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002BE1"/>
    <w:rPr>
      <w:rFonts w:asciiTheme="minorHAnsi" w:eastAsiaTheme="minorEastAsia" w:hAnsiTheme="minorHAnsi"/>
      <w:b/>
      <w:bCs/>
      <w:i/>
      <w:iCs/>
      <w:sz w:val="26"/>
      <w:szCs w:val="26"/>
      <w:lang w:val="ru-RU" w:eastAsia="ru-RU"/>
    </w:rPr>
  </w:style>
  <w:style w:type="paragraph" w:styleId="a3">
    <w:name w:val="caption"/>
    <w:basedOn w:val="a"/>
    <w:uiPriority w:val="99"/>
    <w:qFormat/>
    <w:locked/>
    <w:rsid w:val="00002BE1"/>
    <w:pPr>
      <w:widowControl w:val="0"/>
      <w:autoSpaceDE w:val="0"/>
      <w:autoSpaceDN w:val="0"/>
      <w:adjustRightInd w:val="0"/>
      <w:ind w:firstLine="567"/>
      <w:jc w:val="center"/>
    </w:pPr>
    <w:rPr>
      <w:rFonts w:cs="Arial"/>
      <w:b/>
      <w:bCs/>
      <w:sz w:val="24"/>
      <w:szCs w:val="24"/>
    </w:rPr>
  </w:style>
  <w:style w:type="paragraph" w:styleId="a4">
    <w:name w:val="Title"/>
    <w:basedOn w:val="a"/>
    <w:link w:val="a5"/>
    <w:uiPriority w:val="10"/>
    <w:qFormat/>
    <w:locked/>
    <w:rsid w:val="00002BE1"/>
    <w:pPr>
      <w:autoSpaceDE w:val="0"/>
      <w:autoSpaceDN w:val="0"/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val="ru-RU"/>
    </w:rPr>
  </w:style>
  <w:style w:type="character" w:customStyle="1" w:styleId="a5">
    <w:name w:val="Название Знак"/>
    <w:basedOn w:val="a0"/>
    <w:link w:val="a4"/>
    <w:uiPriority w:val="10"/>
    <w:rsid w:val="00002BE1"/>
    <w:rPr>
      <w:rFonts w:asciiTheme="majorHAnsi" w:eastAsiaTheme="majorEastAsia" w:hAnsiTheme="majorHAnsi"/>
      <w:b/>
      <w:bCs/>
      <w:kern w:val="28"/>
      <w:sz w:val="32"/>
      <w:szCs w:val="32"/>
      <w:lang w:val="ru-RU" w:eastAsia="ru-RU"/>
    </w:rPr>
  </w:style>
  <w:style w:type="character" w:styleId="a6">
    <w:name w:val="Strong"/>
    <w:basedOn w:val="a0"/>
    <w:uiPriority w:val="22"/>
    <w:qFormat/>
    <w:locked/>
    <w:rsid w:val="00002BE1"/>
    <w:rPr>
      <w:b/>
      <w:bCs/>
    </w:rPr>
  </w:style>
  <w:style w:type="paragraph" w:styleId="a7">
    <w:name w:val="List Paragraph"/>
    <w:basedOn w:val="a"/>
    <w:uiPriority w:val="34"/>
    <w:qFormat/>
    <w:rsid w:val="00002BE1"/>
    <w:pPr>
      <w:autoSpaceDE w:val="0"/>
      <w:autoSpaceDN w:val="0"/>
      <w:ind w:left="720"/>
      <w:contextualSpacing/>
    </w:pPr>
    <w:rPr>
      <w:rFonts w:cs="Arial"/>
      <w:sz w:val="24"/>
      <w:szCs w:val="24"/>
      <w:lang w:val="ru-RU"/>
    </w:rPr>
  </w:style>
  <w:style w:type="table" w:styleId="a8">
    <w:name w:val="Table Grid"/>
    <w:basedOn w:val="a1"/>
    <w:uiPriority w:val="59"/>
    <w:rsid w:val="00284938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6331</Words>
  <Characters>3610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2017-04-20T10:41:00Z</dcterms:created>
  <dcterms:modified xsi:type="dcterms:W3CDTF">2017-04-20T11:32:00Z</dcterms:modified>
</cp:coreProperties>
</file>